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87" w:rsidRDefault="00485F77">
      <w:pPr>
        <w:pStyle w:val="1"/>
        <w:spacing w:before="93"/>
        <w:ind w:left="486"/>
      </w:pPr>
      <w:r>
        <w:t>РАЗЪЯСНЕНИЕ СОЮЗА ИНЖЕНЕРОВ-СМЕТЧИКОВ РОССИИ</w:t>
      </w:r>
      <w:bookmarkStart w:id="0" w:name="_GoBack"/>
      <w:bookmarkEnd w:id="0"/>
    </w:p>
    <w:p w:rsidR="00A81687" w:rsidRDefault="00485F77">
      <w:pPr>
        <w:spacing w:before="47" w:line="285" w:lineRule="auto"/>
        <w:ind w:left="491" w:right="544"/>
        <w:jc w:val="center"/>
        <w:rPr>
          <w:b/>
        </w:rPr>
      </w:pPr>
      <w:r>
        <w:rPr>
          <w:b/>
        </w:rPr>
        <w:t>"</w:t>
      </w:r>
      <w:r>
        <w:rPr>
          <w:b/>
        </w:rPr>
        <w:t>О расчете стоимости материальных ресурсов на основе конъюнктурного анализа текущих цен и случаях, когда заказчик вправе потребовать подтверждения исполнителем (подрядчиком) фактической стоимости материальных ресурсов при расчетах за выполненные работы по г</w:t>
      </w:r>
      <w:r>
        <w:rPr>
          <w:b/>
        </w:rPr>
        <w:t>осударственному (муниципальному) контракту"</w:t>
      </w:r>
    </w:p>
    <w:p w:rsidR="00A81687" w:rsidRDefault="00A81687">
      <w:pPr>
        <w:pStyle w:val="a3"/>
        <w:spacing w:before="4"/>
        <w:ind w:left="0"/>
        <w:rPr>
          <w:b/>
          <w:sz w:val="19"/>
        </w:rPr>
      </w:pPr>
    </w:p>
    <w:p w:rsidR="00A81687" w:rsidRDefault="00485F77">
      <w:pPr>
        <w:pStyle w:val="a3"/>
        <w:spacing w:line="280" w:lineRule="auto"/>
        <w:ind w:right="204"/>
      </w:pPr>
      <w:proofErr w:type="gramStart"/>
      <w:r>
        <w:rPr>
          <w:rFonts w:ascii="Segoe UI Emoji" w:hAnsi="Segoe UI Emoji"/>
          <w:sz w:val="26"/>
        </w:rPr>
        <w:t>✅</w:t>
      </w:r>
      <w:r>
        <w:rPr>
          <w:rFonts w:ascii="Segoe UI Emoji" w:hAnsi="Segoe UI Emoji"/>
          <w:sz w:val="26"/>
        </w:rPr>
        <w:t xml:space="preserve"> </w:t>
      </w:r>
      <w:r>
        <w:t>До размещения данных о сметных ценах материалов, изделий и конструкций в ФГИС ЦС Минстроя России или при отсутствии в ней данных по отдельным строительным ресурсам, а также в случае отсутствия отдельных матери</w:t>
      </w:r>
      <w:r>
        <w:t>алов, изделий и конструкций в номенклатуре Федерального (Территориального) сборника средних сметных цен на материалы, изделия и конструкции, применяемые в строительстве (ФССЦ, ТССЦ), их сметная стоимость в текущем уровне цен</w:t>
      </w:r>
      <w:proofErr w:type="gramEnd"/>
      <w:r>
        <w:t xml:space="preserve"> (при необходимости дополнительн</w:t>
      </w:r>
      <w:r>
        <w:t>о в базисном уровне цен), формируется в соответствии с положениями:</w:t>
      </w:r>
    </w:p>
    <w:p w:rsidR="00A81687" w:rsidRDefault="00485F77">
      <w:pPr>
        <w:pStyle w:val="a4"/>
        <w:numPr>
          <w:ilvl w:val="0"/>
          <w:numId w:val="1"/>
        </w:numPr>
        <w:tabs>
          <w:tab w:val="left" w:pos="236"/>
        </w:tabs>
        <w:spacing w:line="285" w:lineRule="auto"/>
        <w:ind w:right="725" w:firstLine="0"/>
      </w:pPr>
      <w:r>
        <w:t>Постановления Правительства РФ от 23.12.2016 N 1452 (ред. от 15.05.2019) "О мониторинге цен строительных ресурсов" (вместе с "Правилами мониторинга цен строительных</w:t>
      </w:r>
      <w:r>
        <w:rPr>
          <w:spacing w:val="-2"/>
        </w:rPr>
        <w:t xml:space="preserve"> </w:t>
      </w:r>
      <w:r>
        <w:t>ресурсов");</w:t>
      </w:r>
    </w:p>
    <w:p w:rsidR="00A81687" w:rsidRDefault="00485F77">
      <w:pPr>
        <w:pStyle w:val="a4"/>
        <w:numPr>
          <w:ilvl w:val="0"/>
          <w:numId w:val="1"/>
        </w:numPr>
        <w:tabs>
          <w:tab w:val="left" w:pos="236"/>
        </w:tabs>
        <w:spacing w:line="285" w:lineRule="auto"/>
        <w:ind w:firstLine="0"/>
        <w:jc w:val="both"/>
      </w:pPr>
      <w:r>
        <w:t>Приказа Мин</w:t>
      </w:r>
      <w:r>
        <w:t>строя России от 05.06.2019 N 326/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Методики расчета индексов изменения сметной стоимости строительства" (Зарегистрировано в Минюсте России 10.09.2019 N</w:t>
      </w:r>
      <w:r>
        <w:rPr>
          <w:spacing w:val="-4"/>
        </w:rPr>
        <w:t xml:space="preserve"> </w:t>
      </w:r>
      <w:r>
        <w:t>55869);</w:t>
      </w:r>
    </w:p>
    <w:p w:rsidR="00A81687" w:rsidRDefault="00485F77">
      <w:pPr>
        <w:pStyle w:val="a4"/>
        <w:numPr>
          <w:ilvl w:val="0"/>
          <w:numId w:val="1"/>
        </w:numPr>
        <w:tabs>
          <w:tab w:val="left" w:pos="236"/>
        </w:tabs>
        <w:spacing w:line="285" w:lineRule="auto"/>
        <w:ind w:right="191" w:firstLine="0"/>
      </w:pPr>
      <w:r>
        <w:t>Статьи 22 "Начальная (максимальная) цена контракта, цена контракта, заключаемог</w:t>
      </w:r>
      <w:r>
        <w:t>о с единственным поставщиком (подрядчиком, исполнителем), начальная сумма цен единиц товара, работы, услуги" Федерального закона от 05.04.2013 N 44-ФЗ "О контрактной системе в сфере закупок товаров, работ, услуг для обеспечения государственных и муниципаль</w:t>
      </w:r>
      <w:r>
        <w:t>ных</w:t>
      </w:r>
      <w:r>
        <w:rPr>
          <w:spacing w:val="-5"/>
        </w:rPr>
        <w:t xml:space="preserve"> </w:t>
      </w:r>
      <w:r>
        <w:t>нужд".</w:t>
      </w:r>
    </w:p>
    <w:p w:rsidR="00A81687" w:rsidRDefault="00485F77">
      <w:pPr>
        <w:pStyle w:val="a3"/>
        <w:spacing w:before="213" w:line="271" w:lineRule="auto"/>
        <w:ind w:right="346"/>
      </w:pPr>
      <w:r>
        <w:rPr>
          <w:rFonts w:ascii="Segoe UI Emoji" w:hAnsi="Segoe UI Emoji"/>
          <w:sz w:val="26"/>
        </w:rPr>
        <w:t>✅</w:t>
      </w:r>
      <w:r>
        <w:rPr>
          <w:rFonts w:ascii="Segoe UI Emoji" w:hAnsi="Segoe UI Emoji"/>
          <w:sz w:val="26"/>
        </w:rPr>
        <w:t xml:space="preserve"> </w:t>
      </w:r>
      <w:r>
        <w:t xml:space="preserve">Стоимость указанных материальных ресурсов и оборудования в текущем уровне цен определяется путем выбора МИНИМАЛЬНОЙ ОТПУСКНОЙ ЦЕНЫ ЗА МАКСИМАЛЬНЫЙ ОБЪЕМ ПОСТАВКИ С УЧЕТОМ ВСЕХ ВОЗМОЖНЫХ СКИДОК </w:t>
      </w:r>
      <w:proofErr w:type="gramStart"/>
      <w:r>
        <w:t>по</w:t>
      </w:r>
      <w:proofErr w:type="gramEnd"/>
    </w:p>
    <w:p w:rsidR="00A81687" w:rsidRDefault="00485F77">
      <w:pPr>
        <w:pStyle w:val="a3"/>
        <w:spacing w:before="12" w:line="285" w:lineRule="auto"/>
        <w:ind w:right="215"/>
      </w:pPr>
      <w:r>
        <w:t xml:space="preserve">результатам КОНЪЮНКТУРНОГО АНАЛИЗА текущих цен </w:t>
      </w:r>
      <w:r>
        <w:t>(соотв. "Метод сопоставимых рыночных цен (анализа рынка)" согласно статьи 22 Закона о контрактной системе 44-ФЗ) НЕ МЕНЕЕ 3 (ТРЕХ) (при наличии) поставщиков, включая затраты, связанные с приобретением, заготовительно-складскими расходами и стоимостью перев</w:t>
      </w:r>
      <w:r>
        <w:t xml:space="preserve">озки материальных ресурсов автомобильным транспортом </w:t>
      </w:r>
      <w:proofErr w:type="gramStart"/>
      <w:r>
        <w:t>на</w:t>
      </w:r>
      <w:proofErr w:type="gramEnd"/>
    </w:p>
    <w:p w:rsidR="00A81687" w:rsidRDefault="00485F77">
      <w:pPr>
        <w:pStyle w:val="a3"/>
        <w:spacing w:before="65" w:line="285" w:lineRule="auto"/>
        <w:ind w:right="126"/>
      </w:pPr>
      <w:r>
        <w:t>расстояние до 30 километров (если иное расстояние перевозки не указано в общих частях сборников сметных цен, включенных в ФРСН) с учетом массы брутто и с учетом положений</w:t>
      </w:r>
    </w:p>
    <w:p w:rsidR="00A81687" w:rsidRDefault="00485F77">
      <w:pPr>
        <w:pStyle w:val="a4"/>
        <w:numPr>
          <w:ilvl w:val="0"/>
          <w:numId w:val="1"/>
        </w:numPr>
        <w:tabs>
          <w:tab w:val="left" w:pos="236"/>
        </w:tabs>
        <w:spacing w:line="285" w:lineRule="auto"/>
        <w:ind w:right="348" w:firstLine="0"/>
      </w:pPr>
      <w:r>
        <w:t>главы VII Методики расчета индексов изменения сметной стоимости строительства, Методики определения сметных цен на материалы, изделия, конструкции, оборудование и цен услуг на перевозку грузов для строительства и Методики применения сметных цен строительны</w:t>
      </w:r>
      <w:r>
        <w:t>х</w:t>
      </w:r>
      <w:r>
        <w:rPr>
          <w:spacing w:val="-7"/>
        </w:rPr>
        <w:t xml:space="preserve"> </w:t>
      </w:r>
      <w:r>
        <w:t>ресурсов.</w:t>
      </w:r>
    </w:p>
    <w:p w:rsidR="00A81687" w:rsidRDefault="00485F77">
      <w:pPr>
        <w:pStyle w:val="a3"/>
        <w:spacing w:line="285" w:lineRule="auto"/>
        <w:ind w:right="1304"/>
        <w:jc w:val="both"/>
      </w:pPr>
      <w:r>
        <w:t>Стоимость поставляемых и (или) выпускаемых единственным Поставщиком материальных ресурсов и оборудования в текущем уровне цен допускается определять на основании отпускной цены по 1 (одному) Поставщику.</w:t>
      </w:r>
    </w:p>
    <w:p w:rsidR="00A81687" w:rsidRDefault="00A81687">
      <w:pPr>
        <w:pStyle w:val="a3"/>
        <w:spacing w:before="4"/>
        <w:ind w:left="0"/>
        <w:rPr>
          <w:sz w:val="25"/>
        </w:rPr>
      </w:pPr>
    </w:p>
    <w:p w:rsidR="00A81687" w:rsidRDefault="00485F77">
      <w:pPr>
        <w:pStyle w:val="a3"/>
        <w:spacing w:before="1"/>
      </w:pPr>
      <w:r>
        <w:t>Отпускные цены определяются без учета НД</w:t>
      </w:r>
      <w:r>
        <w:t>С.</w:t>
      </w:r>
    </w:p>
    <w:p w:rsidR="00A81687" w:rsidRDefault="00485F77">
      <w:pPr>
        <w:pStyle w:val="a3"/>
        <w:spacing w:before="47" w:line="285" w:lineRule="auto"/>
        <w:ind w:right="455"/>
      </w:pPr>
      <w:r>
        <w:t xml:space="preserve">Рекомендуемый образец Конъюнктурного анализа текущих цен материальных ресурсов и оборудования приведен в Приложении N 4 к Методике </w:t>
      </w:r>
      <w:proofErr w:type="gramStart"/>
      <w:r>
        <w:t>расчета индексов изменения сметной стоимости строительства</w:t>
      </w:r>
      <w:proofErr w:type="gramEnd"/>
      <w:r>
        <w:t>.</w:t>
      </w:r>
    </w:p>
    <w:p w:rsidR="00A81687" w:rsidRDefault="00A81687">
      <w:pPr>
        <w:pStyle w:val="a3"/>
        <w:spacing w:before="5"/>
        <w:ind w:left="0"/>
        <w:rPr>
          <w:sz w:val="19"/>
        </w:rPr>
      </w:pPr>
    </w:p>
    <w:p w:rsidR="00A81687" w:rsidRDefault="00485F77">
      <w:pPr>
        <w:pStyle w:val="a3"/>
        <w:spacing w:line="276" w:lineRule="auto"/>
        <w:ind w:right="115"/>
      </w:pPr>
      <w:r>
        <w:rPr>
          <w:rFonts w:ascii="Segoe UI Emoji" w:hAnsi="Segoe UI Emoji"/>
          <w:sz w:val="26"/>
        </w:rPr>
        <w:t>✅</w:t>
      </w:r>
      <w:r>
        <w:rPr>
          <w:rFonts w:ascii="Segoe UI Emoji" w:hAnsi="Segoe UI Emoji"/>
          <w:sz w:val="26"/>
        </w:rPr>
        <w:t xml:space="preserve"> </w:t>
      </w:r>
      <w:r>
        <w:t>В качестве Поставщиков приоритетно выбираются производители</w:t>
      </w:r>
      <w:r>
        <w:t xml:space="preserve"> или поставщики, осуществляющие прямые поставки на территории ценовой зоны (субъекта Российской Федерации, частей территории субъекта Российской Федерации), соответствующих </w:t>
      </w:r>
      <w:r>
        <w:lastRenderedPageBreak/>
        <w:t>следующим критериям:</w:t>
      </w:r>
    </w:p>
    <w:p w:rsidR="00A81687" w:rsidRDefault="00485F77">
      <w:pPr>
        <w:pStyle w:val="a3"/>
        <w:spacing w:before="5" w:line="285" w:lineRule="auto"/>
        <w:ind w:right="552"/>
      </w:pPr>
      <w:r>
        <w:t>а) являются официальными производителями или оптовыми поставщи</w:t>
      </w:r>
      <w:r>
        <w:t xml:space="preserve">ками (приоритетно - </w:t>
      </w:r>
      <w:proofErr w:type="gramStart"/>
      <w:r>
        <w:t>включены</w:t>
      </w:r>
      <w:proofErr w:type="gramEnd"/>
      <w:r>
        <w:t xml:space="preserve"> в перечень юридических лиц ФГИС ЦС Минстроя России) б) отсутствуют в реестре недобросовестных поставщиков (подрядчиков, исполнителей).</w:t>
      </w:r>
    </w:p>
    <w:p w:rsidR="00A81687" w:rsidRDefault="00A81687">
      <w:pPr>
        <w:pStyle w:val="a3"/>
        <w:spacing w:before="4"/>
        <w:ind w:left="0"/>
        <w:rPr>
          <w:sz w:val="19"/>
        </w:rPr>
      </w:pPr>
    </w:p>
    <w:p w:rsidR="00A81687" w:rsidRDefault="00485F77">
      <w:pPr>
        <w:pStyle w:val="a3"/>
        <w:spacing w:line="283" w:lineRule="auto"/>
        <w:ind w:right="156"/>
      </w:pPr>
      <w:r>
        <w:rPr>
          <w:rFonts w:ascii="Segoe UI Emoji" w:hAnsi="Segoe UI Emoji"/>
          <w:sz w:val="26"/>
        </w:rPr>
        <w:t>✅</w:t>
      </w:r>
      <w:r>
        <w:rPr>
          <w:rFonts w:ascii="Segoe UI Emoji" w:hAnsi="Segoe UI Emoji"/>
          <w:sz w:val="26"/>
        </w:rPr>
        <w:t xml:space="preserve"> </w:t>
      </w:r>
      <w:r>
        <w:t>В соответствии с п. 119 Методики расчета индексов изменения сметной стоимости строительст</w:t>
      </w:r>
      <w:r>
        <w:t>ва (Приказ Минстроя России от 05.06.2019 N 326/</w:t>
      </w:r>
      <w:proofErr w:type="spellStart"/>
      <w:proofErr w:type="gramStart"/>
      <w:r>
        <w:t>пр</w:t>
      </w:r>
      <w:proofErr w:type="spellEnd"/>
      <w:proofErr w:type="gramEnd"/>
      <w:r>
        <w:t>) при проведении Конъюнктурного анализа текущих цен организации вправе использовать данные, полученные из следующих источников: коммерческие предложения, прайс-листы Поставщиков и другие документы, содержащи</w:t>
      </w:r>
      <w:r>
        <w:t>е информацию о стоимости строительных ресурсов, в том числе размещенные на официальных сайтах производителей, поставщиков или полученные по запросу (</w:t>
      </w:r>
      <w:proofErr w:type="gramStart"/>
      <w:r>
        <w:t>официальное письмо, электронная почта, факс), данные электронных торговых площадок и котировок товарно-сырь</w:t>
      </w:r>
      <w:r>
        <w:t>евых бирж, результаты конкурсов, аукционов и данные, указанные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а так</w:t>
      </w:r>
      <w:r>
        <w:t>же данные государственной статистической отчетности о ценах строительных ресурсов.</w:t>
      </w:r>
      <w:proofErr w:type="gramEnd"/>
    </w:p>
    <w:p w:rsidR="00A81687" w:rsidRDefault="00485F77">
      <w:pPr>
        <w:pStyle w:val="a3"/>
        <w:spacing w:before="213" w:line="276" w:lineRule="auto"/>
        <w:ind w:right="239"/>
      </w:pPr>
      <w:r>
        <w:rPr>
          <w:rFonts w:ascii="Segoe UI Emoji" w:hAnsi="Segoe UI Emoji"/>
          <w:sz w:val="26"/>
        </w:rPr>
        <w:t>✅</w:t>
      </w:r>
      <w:r>
        <w:rPr>
          <w:rFonts w:ascii="Segoe UI Emoji" w:hAnsi="Segoe UI Emoji"/>
          <w:sz w:val="26"/>
        </w:rPr>
        <w:t xml:space="preserve"> </w:t>
      </w:r>
      <w:r>
        <w:t>Стоимость материальных ресурсов и оборудования, определенная в цене государственного (муниципального) контракта на основе Конъюнктурного анализа цен не требует подтвержден</w:t>
      </w:r>
      <w:r>
        <w:t>ия исполнителем (подрядчиком) в процессе его исполнения (при расчетах за выполненные работы) за исключением СЛЕДУЮЩИХ СЛУЧАЕВ:</w:t>
      </w:r>
    </w:p>
    <w:p w:rsidR="00A81687" w:rsidRDefault="00A81687">
      <w:pPr>
        <w:pStyle w:val="a3"/>
        <w:spacing w:before="6"/>
        <w:ind w:left="0"/>
        <w:rPr>
          <w:sz w:val="23"/>
        </w:rPr>
      </w:pPr>
    </w:p>
    <w:p w:rsidR="00A81687" w:rsidRDefault="00485F77" w:rsidP="00485F77">
      <w:pPr>
        <w:pStyle w:val="a3"/>
        <w:spacing w:line="266" w:lineRule="auto"/>
        <w:ind w:right="290"/>
      </w:pPr>
      <w:r>
        <w:rPr>
          <w:rFonts w:ascii="Gill Sans MT" w:eastAsia="Gill Sans MT" w:hAnsi="Gill Sans MT" w:cs="Gill Sans MT"/>
          <w:sz w:val="26"/>
        </w:rPr>
        <w:t>👉</w:t>
      </w:r>
      <w:r>
        <w:rPr>
          <w:rFonts w:ascii="Gill Sans MT" w:eastAsia="Gill Sans MT" w:hAnsi="Gill Sans MT"/>
          <w:sz w:val="26"/>
        </w:rPr>
        <w:t xml:space="preserve"> </w:t>
      </w:r>
      <w:r>
        <w:t>Если стоимость материального ресурса определена на основании отпускной цены по одному (единственному) производителю (поставщи</w:t>
      </w:r>
      <w:r>
        <w:t xml:space="preserve">ку), при этом принятые для </w:t>
      </w:r>
      <w:r>
        <w:t>расчета данные в форме коммерческого предложения или прайс-листа не могут быть признаны (не являются) в соответствии с гражданским законодательством публичной офертой (п. 2 части 18 статьи 22 Закона о контрактной системе 44-ФЗ);</w:t>
      </w:r>
    </w:p>
    <w:p w:rsidR="00A81687" w:rsidRDefault="00485F77">
      <w:pPr>
        <w:pStyle w:val="a3"/>
        <w:spacing w:line="264" w:lineRule="exact"/>
        <w:jc w:val="both"/>
      </w:pPr>
      <w:proofErr w:type="gramStart"/>
      <w:r>
        <w:rPr>
          <w:rFonts w:ascii="Gill Sans MT" w:eastAsia="Gill Sans MT" w:hAnsi="Gill Sans MT"/>
          <w:sz w:val="26"/>
        </w:rPr>
        <w:t>👉</w:t>
      </w:r>
      <w:r>
        <w:rPr>
          <w:rFonts w:ascii="Gill Sans MT" w:eastAsia="Gill Sans MT" w:hAnsi="Gill Sans MT"/>
          <w:sz w:val="26"/>
        </w:rPr>
        <w:t xml:space="preserve"> </w:t>
      </w:r>
      <w:r>
        <w:t>Если необходимость подтв</w:t>
      </w:r>
      <w:r>
        <w:t>ерждения установлена условиями государственного</w:t>
      </w:r>
      <w:proofErr w:type="gramEnd"/>
    </w:p>
    <w:p w:rsidR="00A81687" w:rsidRDefault="00485F77">
      <w:pPr>
        <w:pStyle w:val="a3"/>
        <w:spacing w:before="34"/>
        <w:jc w:val="both"/>
      </w:pPr>
      <w:r>
        <w:t>(муниципального) контракта;</w:t>
      </w:r>
    </w:p>
    <w:p w:rsidR="00A81687" w:rsidRDefault="00485F77">
      <w:pPr>
        <w:pStyle w:val="a3"/>
        <w:spacing w:before="12" w:line="280" w:lineRule="auto"/>
        <w:ind w:right="159"/>
      </w:pPr>
      <w:r>
        <w:rPr>
          <w:rFonts w:ascii="Gill Sans MT" w:eastAsia="Gill Sans MT" w:hAnsi="Gill Sans MT"/>
          <w:sz w:val="26"/>
        </w:rPr>
        <w:t>👉</w:t>
      </w:r>
      <w:r>
        <w:rPr>
          <w:rFonts w:ascii="Gill Sans MT" w:eastAsia="Gill Sans MT" w:hAnsi="Gill Sans MT"/>
          <w:sz w:val="26"/>
        </w:rPr>
        <w:t xml:space="preserve"> </w:t>
      </w:r>
      <w:r>
        <w:t>При представлении Документов-оснований исполнителя (подрядчика) по государственным (муниципальным) контрактам, которым открыты лицевые счета в Федеральном казначействе (Территор</w:t>
      </w:r>
      <w:r>
        <w:t>иальными органами Федерального казначейства ТОФК) в соответствии с Правилами казначейского сопровождения сре</w:t>
      </w:r>
      <w:proofErr w:type="gramStart"/>
      <w:r>
        <w:t>дств в сл</w:t>
      </w:r>
      <w:proofErr w:type="gramEnd"/>
      <w:r>
        <w:t>учаях, предусмотренных Федеральным законодательством;</w:t>
      </w:r>
    </w:p>
    <w:p w:rsidR="00A81687" w:rsidRDefault="00485F77">
      <w:pPr>
        <w:pStyle w:val="a3"/>
        <w:spacing w:line="266" w:lineRule="exact"/>
      </w:pPr>
      <w:r>
        <w:rPr>
          <w:rFonts w:ascii="Gill Sans MT" w:eastAsia="Gill Sans MT" w:hAnsi="Gill Sans MT"/>
          <w:sz w:val="26"/>
        </w:rPr>
        <w:t>👉</w:t>
      </w:r>
      <w:r>
        <w:rPr>
          <w:rFonts w:ascii="Gill Sans MT" w:eastAsia="Gill Sans MT" w:hAnsi="Gill Sans MT"/>
          <w:sz w:val="26"/>
        </w:rPr>
        <w:t xml:space="preserve"> </w:t>
      </w:r>
      <w:r>
        <w:t xml:space="preserve">При расширенном банковском сопровождении </w:t>
      </w:r>
      <w:proofErr w:type="gramStart"/>
      <w:r>
        <w:t>государственных</w:t>
      </w:r>
      <w:proofErr w:type="gramEnd"/>
      <w:r>
        <w:t xml:space="preserve"> (муниципальных)</w:t>
      </w:r>
    </w:p>
    <w:p w:rsidR="00A81687" w:rsidRDefault="00485F77">
      <w:pPr>
        <w:pStyle w:val="a3"/>
        <w:spacing w:before="34" w:line="285" w:lineRule="auto"/>
        <w:ind w:right="709"/>
      </w:pPr>
      <w:r>
        <w:t>контракто</w:t>
      </w:r>
      <w:r>
        <w:t>в в соответствии с условиями контрактов и правил (регламентов) такого сопровождения уполномоченным банком.</w:t>
      </w:r>
    </w:p>
    <w:p w:rsidR="00A81687" w:rsidRDefault="00A81687">
      <w:pPr>
        <w:pStyle w:val="a3"/>
        <w:spacing w:before="11"/>
        <w:ind w:left="0"/>
        <w:rPr>
          <w:sz w:val="25"/>
        </w:rPr>
      </w:pPr>
    </w:p>
    <w:p w:rsidR="00A81687" w:rsidRDefault="00485F77">
      <w:pPr>
        <w:pStyle w:val="a3"/>
      </w:pPr>
      <w:r>
        <w:t>Рекомендуем также учитывать Разъяснения Союза инженеров-сметчиков</w:t>
      </w:r>
    </w:p>
    <w:p w:rsidR="00A81687" w:rsidRDefault="00485F77">
      <w:pPr>
        <w:pStyle w:val="a4"/>
        <w:numPr>
          <w:ilvl w:val="0"/>
          <w:numId w:val="1"/>
        </w:numPr>
        <w:tabs>
          <w:tab w:val="left" w:pos="236"/>
        </w:tabs>
        <w:spacing w:before="47" w:line="285" w:lineRule="auto"/>
        <w:ind w:right="907" w:firstLine="0"/>
      </w:pPr>
      <w:r>
        <w:t>от 19.11.2018 г. № РС-ПГ-96/18 «О применении прайс-листов и коммерческих предложен</w:t>
      </w:r>
      <w:r>
        <w:t>ий при определении сметной стоимости строительства и расчетах за выполненные</w:t>
      </w:r>
      <w:r>
        <w:rPr>
          <w:spacing w:val="-2"/>
        </w:rPr>
        <w:t xml:space="preserve"> </w:t>
      </w:r>
      <w:r>
        <w:t>работы»</w:t>
      </w:r>
    </w:p>
    <w:p w:rsidR="00A81687" w:rsidRDefault="00485F77">
      <w:pPr>
        <w:pStyle w:val="a4"/>
        <w:numPr>
          <w:ilvl w:val="0"/>
          <w:numId w:val="1"/>
        </w:numPr>
        <w:tabs>
          <w:tab w:val="left" w:pos="236"/>
        </w:tabs>
        <w:spacing w:line="285" w:lineRule="auto"/>
        <w:ind w:right="997" w:firstLine="0"/>
      </w:pPr>
      <w:r>
        <w:t>от 12.03.2019 г. № РС-ПГ-125/19 «О применении Территориальных сборников (каталогов) текущих средних сметных цен на</w:t>
      </w:r>
      <w:r>
        <w:rPr>
          <w:spacing w:val="-12"/>
        </w:rPr>
        <w:t xml:space="preserve"> </w:t>
      </w:r>
      <w:r>
        <w:t>материалы»</w:t>
      </w:r>
    </w:p>
    <w:p w:rsidR="00A81687" w:rsidRDefault="00A81687">
      <w:pPr>
        <w:pStyle w:val="a3"/>
        <w:spacing w:before="9"/>
        <w:ind w:left="0"/>
        <w:rPr>
          <w:sz w:val="25"/>
        </w:rPr>
      </w:pPr>
    </w:p>
    <w:p w:rsidR="00A81687" w:rsidRDefault="00485F77">
      <w:pPr>
        <w:pStyle w:val="1"/>
        <w:spacing w:line="285" w:lineRule="auto"/>
        <w:ind w:right="6739"/>
        <w:jc w:val="left"/>
      </w:pPr>
      <w:r>
        <w:t xml:space="preserve">Президент Союза инженеров-сметчиков П.В. </w:t>
      </w:r>
      <w:proofErr w:type="spellStart"/>
      <w:r>
        <w:t>Гор</w:t>
      </w:r>
      <w:r>
        <w:t>ячкин</w:t>
      </w:r>
      <w:proofErr w:type="spellEnd"/>
    </w:p>
    <w:sectPr w:rsidR="00A81687" w:rsidSect="00485F77">
      <w:pgSz w:w="11920" w:h="16860"/>
      <w:pgMar w:top="567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CD8"/>
    <w:multiLevelType w:val="hybridMultilevel"/>
    <w:tmpl w:val="F6FCA1FA"/>
    <w:lvl w:ilvl="0" w:tplc="7A8E2A32">
      <w:numFmt w:val="bullet"/>
      <w:lvlText w:val="-"/>
      <w:lvlJc w:val="left"/>
      <w:pPr>
        <w:ind w:left="101" w:hanging="135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22B26976">
      <w:numFmt w:val="bullet"/>
      <w:lvlText w:val="•"/>
      <w:lvlJc w:val="left"/>
      <w:pPr>
        <w:ind w:left="1018" w:hanging="135"/>
      </w:pPr>
      <w:rPr>
        <w:rFonts w:hint="default"/>
        <w:lang w:val="ru-RU" w:eastAsia="ru-RU" w:bidi="ru-RU"/>
      </w:rPr>
    </w:lvl>
    <w:lvl w:ilvl="2" w:tplc="39B07106">
      <w:numFmt w:val="bullet"/>
      <w:lvlText w:val="•"/>
      <w:lvlJc w:val="left"/>
      <w:pPr>
        <w:ind w:left="1936" w:hanging="135"/>
      </w:pPr>
      <w:rPr>
        <w:rFonts w:hint="default"/>
        <w:lang w:val="ru-RU" w:eastAsia="ru-RU" w:bidi="ru-RU"/>
      </w:rPr>
    </w:lvl>
    <w:lvl w:ilvl="3" w:tplc="6CB6D956">
      <w:numFmt w:val="bullet"/>
      <w:lvlText w:val="•"/>
      <w:lvlJc w:val="left"/>
      <w:pPr>
        <w:ind w:left="2854" w:hanging="135"/>
      </w:pPr>
      <w:rPr>
        <w:rFonts w:hint="default"/>
        <w:lang w:val="ru-RU" w:eastAsia="ru-RU" w:bidi="ru-RU"/>
      </w:rPr>
    </w:lvl>
    <w:lvl w:ilvl="4" w:tplc="3F10D944">
      <w:numFmt w:val="bullet"/>
      <w:lvlText w:val="•"/>
      <w:lvlJc w:val="left"/>
      <w:pPr>
        <w:ind w:left="3772" w:hanging="135"/>
      </w:pPr>
      <w:rPr>
        <w:rFonts w:hint="default"/>
        <w:lang w:val="ru-RU" w:eastAsia="ru-RU" w:bidi="ru-RU"/>
      </w:rPr>
    </w:lvl>
    <w:lvl w:ilvl="5" w:tplc="B650AED6">
      <w:numFmt w:val="bullet"/>
      <w:lvlText w:val="•"/>
      <w:lvlJc w:val="left"/>
      <w:pPr>
        <w:ind w:left="4690" w:hanging="135"/>
      </w:pPr>
      <w:rPr>
        <w:rFonts w:hint="default"/>
        <w:lang w:val="ru-RU" w:eastAsia="ru-RU" w:bidi="ru-RU"/>
      </w:rPr>
    </w:lvl>
    <w:lvl w:ilvl="6" w:tplc="E16C6A5C">
      <w:numFmt w:val="bullet"/>
      <w:lvlText w:val="•"/>
      <w:lvlJc w:val="left"/>
      <w:pPr>
        <w:ind w:left="5608" w:hanging="135"/>
      </w:pPr>
      <w:rPr>
        <w:rFonts w:hint="default"/>
        <w:lang w:val="ru-RU" w:eastAsia="ru-RU" w:bidi="ru-RU"/>
      </w:rPr>
    </w:lvl>
    <w:lvl w:ilvl="7" w:tplc="E7A66A1E">
      <w:numFmt w:val="bullet"/>
      <w:lvlText w:val="•"/>
      <w:lvlJc w:val="left"/>
      <w:pPr>
        <w:ind w:left="6526" w:hanging="135"/>
      </w:pPr>
      <w:rPr>
        <w:rFonts w:hint="default"/>
        <w:lang w:val="ru-RU" w:eastAsia="ru-RU" w:bidi="ru-RU"/>
      </w:rPr>
    </w:lvl>
    <w:lvl w:ilvl="8" w:tplc="60ECD5FE">
      <w:numFmt w:val="bullet"/>
      <w:lvlText w:val="•"/>
      <w:lvlJc w:val="left"/>
      <w:pPr>
        <w:ind w:left="7444" w:hanging="13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1687"/>
    <w:rsid w:val="00485F77"/>
    <w:rsid w:val="00A8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 w:right="54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 w:right="1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5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F77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Горинский</cp:lastModifiedBy>
  <cp:revision>2</cp:revision>
  <dcterms:created xsi:type="dcterms:W3CDTF">2019-10-28T10:08:00Z</dcterms:created>
  <dcterms:modified xsi:type="dcterms:W3CDTF">2019-10-28T10:11:00Z</dcterms:modified>
</cp:coreProperties>
</file>