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F7" w:rsidRPr="008B091C" w:rsidRDefault="009C5FF7" w:rsidP="009C5FF7">
      <w:pPr>
        <w:pStyle w:val="1"/>
      </w:pPr>
      <w:bookmarkStart w:id="0" w:name="_Toc422151663"/>
      <w:bookmarkStart w:id="1" w:name="_Toc422158214"/>
      <w:bookmarkStart w:id="2" w:name="_Toc422160009"/>
      <w:r w:rsidRPr="008B091C">
        <w:t>Отчеты</w:t>
      </w:r>
      <w:bookmarkEnd w:id="0"/>
      <w:bookmarkEnd w:id="1"/>
      <w:bookmarkEnd w:id="2"/>
    </w:p>
    <w:p w:rsidR="009C5FF7" w:rsidRPr="00166484" w:rsidRDefault="009C5FF7" w:rsidP="009C5FF7">
      <w:pPr>
        <w:pStyle w:val="ParagraphwithGapPetersburgCTT"/>
      </w:pPr>
      <w:r w:rsidRPr="00166484">
        <w:t xml:space="preserve">Отчеты можно сформировать из одноименных пунктов меню «Отчеты». </w:t>
      </w:r>
    </w:p>
    <w:p w:rsidR="009C5FF7" w:rsidRPr="00A53AA0" w:rsidRDefault="009C5FF7" w:rsidP="009C5FF7">
      <w:pPr>
        <w:pStyle w:val="2"/>
      </w:pPr>
      <w:bookmarkStart w:id="3" w:name="_Toc417309402"/>
      <w:bookmarkStart w:id="4" w:name="_Toc418774716"/>
      <w:bookmarkStart w:id="5" w:name="_Toc419319497"/>
      <w:bookmarkStart w:id="6" w:name="_Toc422151664"/>
      <w:bookmarkStart w:id="7" w:name="_Toc422158215"/>
      <w:bookmarkStart w:id="8" w:name="_Toc422160010"/>
      <w:r w:rsidRPr="00A53AA0">
        <w:t>Ведомость ресурсов</w:t>
      </w:r>
      <w:bookmarkEnd w:id="3"/>
      <w:bookmarkEnd w:id="4"/>
      <w:bookmarkEnd w:id="5"/>
      <w:bookmarkEnd w:id="6"/>
      <w:bookmarkEnd w:id="7"/>
      <w:bookmarkEnd w:id="8"/>
    </w:p>
    <w:p w:rsidR="009C5FF7" w:rsidRDefault="009C5FF7" w:rsidP="009C5FF7">
      <w:pPr>
        <w:pStyle w:val="ParagraphwithGapPetersburgCTT"/>
      </w:pPr>
      <w:r w:rsidRPr="00166484">
        <w:t>Отчет «Ведомость ресурсов» выводит список ресурсов, необходимых для обеспечения выполнения работ, предусмотренных локальной, объектной или сводной сметой.</w:t>
      </w:r>
    </w:p>
    <w:p w:rsidR="009C5FF7" w:rsidRDefault="009C5FF7" w:rsidP="009C5FF7">
      <w:pPr>
        <w:pStyle w:val="ParagraphwithGapPetersburgCTT"/>
      </w:pPr>
      <w:r w:rsidDel="003C31D1">
        <w:t xml:space="preserve"> </w:t>
      </w:r>
      <w:r w:rsidRPr="00553D00">
        <w:rPr>
          <w:noProof/>
        </w:rPr>
        <w:drawing>
          <wp:inline distT="0" distB="0" distL="0" distR="0">
            <wp:extent cx="4227830" cy="3728720"/>
            <wp:effectExtent l="19050" t="19050" r="20320" b="241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7287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166484" w:rsidRDefault="009C5FF7" w:rsidP="009C5FF7">
      <w:pPr>
        <w:pStyle w:val="ParagraphwithGapPetersburgCTT"/>
      </w:pPr>
      <w:r w:rsidRPr="00166484">
        <w:t>По выбранной смете формируется сводная ведомость ресурсов по смете, включающая в себя как учтенные в расценках ресурсы, так и ресурсы по проекту, и неучтенные ресурсы. Для учтенных ресурсов группировка производится по коду ресурса. Для неучтенных ресурсов и ресурсов по проекту (ресурсов</w:t>
      </w:r>
      <w:r w:rsidRPr="00166484">
        <w:noBreakHyphen/>
        <w:t>позиций сметы) – по шифру расценки, наименованию, измерителю (единице измерения).</w:t>
      </w:r>
    </w:p>
    <w:p w:rsidR="009C5FF7" w:rsidRPr="00A53AA0" w:rsidRDefault="009C5FF7" w:rsidP="009C5FF7">
      <w:pPr>
        <w:pStyle w:val="2"/>
      </w:pPr>
      <w:bookmarkStart w:id="9" w:name="_Toc417309403"/>
      <w:bookmarkStart w:id="10" w:name="_Toc418774717"/>
      <w:bookmarkStart w:id="11" w:name="_Toc419319498"/>
      <w:bookmarkStart w:id="12" w:name="_Toc422151665"/>
      <w:bookmarkStart w:id="13" w:name="_Toc422158216"/>
      <w:bookmarkStart w:id="14" w:name="_Toc422160011"/>
      <w:r w:rsidRPr="00A53AA0">
        <w:t>Ведомость потребности в ресурсах</w:t>
      </w:r>
      <w:bookmarkEnd w:id="9"/>
      <w:bookmarkEnd w:id="10"/>
      <w:bookmarkEnd w:id="11"/>
      <w:bookmarkEnd w:id="12"/>
      <w:bookmarkEnd w:id="13"/>
      <w:bookmarkEnd w:id="14"/>
    </w:p>
    <w:p w:rsidR="009C5FF7" w:rsidRPr="00166484" w:rsidRDefault="009C5FF7" w:rsidP="009C5FF7">
      <w:pPr>
        <w:pStyle w:val="ParagraphwithGapPetersburgCTT"/>
      </w:pPr>
      <w:r w:rsidRPr="00166484">
        <w:t xml:space="preserve">Отчет формируется аналогично отчету «Ведомость ресурсов» по любому типу сметы: локальной, объектной, сводной. Дополнительно можно выбрать вариант расчета сметной стоимости ресурсов в базисных или текущих ценах (кнопка «Выбрать вариант»). </w:t>
      </w:r>
    </w:p>
    <w:p w:rsidR="009C5FF7" w:rsidRDefault="009C5FF7" w:rsidP="009C5FF7">
      <w:pPr>
        <w:pStyle w:val="Paragraph0"/>
        <w:ind w:firstLine="0"/>
      </w:pPr>
      <w:r w:rsidRPr="00553D00">
        <w:rPr>
          <w:noProof/>
        </w:rPr>
        <w:lastRenderedPageBreak/>
        <w:drawing>
          <wp:inline distT="0" distB="0" distL="0" distR="0">
            <wp:extent cx="4227830" cy="3289300"/>
            <wp:effectExtent l="19050" t="19050" r="20320" b="254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289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A53AA0" w:rsidRDefault="009C5FF7" w:rsidP="009C5FF7">
      <w:pPr>
        <w:pStyle w:val="2"/>
      </w:pPr>
      <w:bookmarkStart w:id="15" w:name="_Toc417309404"/>
      <w:bookmarkStart w:id="16" w:name="_Toc418774718"/>
      <w:bookmarkStart w:id="17" w:name="_Toc419319499"/>
      <w:bookmarkStart w:id="18" w:name="_Toc422151666"/>
      <w:bookmarkStart w:id="19" w:name="_Toc422158217"/>
      <w:bookmarkStart w:id="20" w:name="_Toc422160012"/>
      <w:r w:rsidRPr="00A53AA0">
        <w:t>Ведомость объемов</w:t>
      </w:r>
      <w:bookmarkEnd w:id="15"/>
      <w:bookmarkEnd w:id="16"/>
      <w:bookmarkEnd w:id="17"/>
      <w:bookmarkEnd w:id="18"/>
      <w:bookmarkEnd w:id="19"/>
      <w:bookmarkEnd w:id="20"/>
    </w:p>
    <w:p w:rsidR="009C5FF7" w:rsidRPr="00166484" w:rsidRDefault="009C5FF7" w:rsidP="009C5FF7">
      <w:pPr>
        <w:pStyle w:val="ParagraphwithGapPetersburgCTT"/>
      </w:pPr>
      <w:r w:rsidRPr="00166484">
        <w:t>Отчет формируется по любому типу сметы: локальной, объектной, сводной. Если отчет формируется по объектной или сводной смете, то предусмотрена возможность получить сводную ведомость объемов работ по всем локальным сметам, входящим в состав объектной или сводной сметы, или комплект (пакет) ведомостей объемов по каждой локальной смете.</w:t>
      </w:r>
    </w:p>
    <w:p w:rsidR="009C5FF7" w:rsidRPr="00166484" w:rsidRDefault="009C5FF7" w:rsidP="009C5FF7">
      <w:pPr>
        <w:pStyle w:val="ParagraphwithGapPetersburgCTT"/>
      </w:pPr>
      <w:r w:rsidRPr="00166484">
        <w:t>Также есть возможность включать в ведомость только работы, при этом не выводятся в отчет ресурсы по проекту, учтенные отдельными сметными позициями.</w:t>
      </w:r>
    </w:p>
    <w:p w:rsidR="009C5FF7" w:rsidRPr="004C609B" w:rsidRDefault="009C5FF7" w:rsidP="009C5FF7">
      <w:pPr>
        <w:pStyle w:val="Paragraph0"/>
        <w:ind w:firstLine="0"/>
      </w:pPr>
      <w:r w:rsidRPr="00553D00">
        <w:rPr>
          <w:noProof/>
        </w:rPr>
        <w:drawing>
          <wp:inline distT="0" distB="0" distL="0" distR="0">
            <wp:extent cx="4227830" cy="3657600"/>
            <wp:effectExtent l="19050" t="19050" r="2032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3657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A53AA0" w:rsidRDefault="009C5FF7" w:rsidP="009C5FF7">
      <w:pPr>
        <w:pStyle w:val="2"/>
      </w:pPr>
      <w:bookmarkStart w:id="21" w:name="_Toc417309405"/>
      <w:bookmarkStart w:id="22" w:name="_Toc418774719"/>
      <w:bookmarkStart w:id="23" w:name="_Toc419319500"/>
      <w:bookmarkStart w:id="24" w:name="_Toc422151667"/>
      <w:bookmarkStart w:id="25" w:name="_Toc422158218"/>
      <w:bookmarkStart w:id="26" w:name="_Toc422160013"/>
      <w:r w:rsidRPr="00A53AA0">
        <w:lastRenderedPageBreak/>
        <w:t xml:space="preserve">Журнал учета выполненных работ </w:t>
      </w:r>
      <w:r>
        <w:t>(</w:t>
      </w:r>
      <w:r w:rsidRPr="00A53AA0">
        <w:t>КС</w:t>
      </w:r>
      <w:r>
        <w:noBreakHyphen/>
      </w:r>
      <w:r w:rsidRPr="00A53AA0">
        <w:t>6</w:t>
      </w:r>
      <w:bookmarkEnd w:id="21"/>
      <w:r>
        <w:t>)</w:t>
      </w:r>
      <w:bookmarkEnd w:id="22"/>
      <w:bookmarkEnd w:id="23"/>
      <w:bookmarkEnd w:id="24"/>
      <w:bookmarkEnd w:id="25"/>
      <w:bookmarkEnd w:id="26"/>
    </w:p>
    <w:p w:rsidR="009C5FF7" w:rsidRPr="00166484" w:rsidRDefault="009C5FF7" w:rsidP="009C5FF7">
      <w:pPr>
        <w:pStyle w:val="ParagraphwithGapPetersburgCTT"/>
      </w:pPr>
      <w:r w:rsidRPr="007E4CDB">
        <w:t>Отчет «Журнал учета выполненных работ» формируется на основании данных документов «</w:t>
      </w:r>
      <w:hyperlink r:id="rId8" w:history="1">
        <w:r w:rsidRPr="00166484">
          <w:t>Локальная смета</w:t>
        </w:r>
      </w:hyperlink>
      <w:r w:rsidRPr="007E4CDB">
        <w:t>» и «</w:t>
      </w:r>
      <w:hyperlink r:id="rId9" w:history="1">
        <w:r w:rsidRPr="00166484">
          <w:t>Акт выполненных работ</w:t>
        </w:r>
      </w:hyperlink>
      <w:r w:rsidRPr="00166484">
        <w:t>». Основное назначение отчета – предоставление информации о количестве и стоимости ежемесячно выполняемых работ за определенный период.</w:t>
      </w:r>
    </w:p>
    <w:p w:rsidR="009C5FF7" w:rsidRPr="00166484" w:rsidRDefault="009C5FF7" w:rsidP="009C5FF7">
      <w:pPr>
        <w:pStyle w:val="ParagraphwithGapPetersburgCTT"/>
      </w:pPr>
      <w:r w:rsidRPr="00166484">
        <w:t>Может формироваться за произвольный период. При этом предусмотрены три варианта формирования:</w:t>
      </w:r>
    </w:p>
    <w:p w:rsidR="009C5FF7" w:rsidRPr="00166484" w:rsidRDefault="009C5FF7" w:rsidP="009C5FF7">
      <w:pPr>
        <w:pStyle w:val="List1"/>
        <w:rPr>
          <w:lang w:val="ru-RU"/>
        </w:rPr>
      </w:pPr>
      <w:r w:rsidRPr="00166484">
        <w:rPr>
          <w:lang w:val="ru-RU"/>
        </w:rPr>
        <w:t>только за те месяцы выбранного периода, по которым было выполнение работ;</w:t>
      </w:r>
    </w:p>
    <w:p w:rsidR="009C5FF7" w:rsidRPr="00166484" w:rsidRDefault="009C5FF7" w:rsidP="009C5FF7">
      <w:pPr>
        <w:pStyle w:val="List1"/>
        <w:rPr>
          <w:lang w:val="ru-RU"/>
        </w:rPr>
      </w:pPr>
      <w:r w:rsidRPr="00166484">
        <w:rPr>
          <w:lang w:val="ru-RU"/>
        </w:rPr>
        <w:t>за все месяцы выбранного периода;</w:t>
      </w:r>
    </w:p>
    <w:p w:rsidR="009C5FF7" w:rsidRPr="00166484" w:rsidRDefault="009C5FF7" w:rsidP="009C5FF7">
      <w:pPr>
        <w:pStyle w:val="List1"/>
        <w:rPr>
          <w:lang w:val="ru-RU"/>
        </w:rPr>
      </w:pPr>
      <w:r w:rsidRPr="00166484">
        <w:rPr>
          <w:lang w:val="ru-RU"/>
        </w:rPr>
        <w:t>за последний месяц выбранного периода.</w:t>
      </w:r>
    </w:p>
    <w:p w:rsidR="009C5FF7" w:rsidRPr="00166484" w:rsidRDefault="009C5FF7" w:rsidP="009C5FF7">
      <w:pPr>
        <w:pStyle w:val="ParagraphwithGapPetersburgCTT"/>
      </w:pPr>
      <w:r w:rsidRPr="00166484">
        <w:t>В отчет выводится список позиций локальной сметы, сгруппированный в разделы и подразделы, итоговые строки, список подписей в подвале сметы.</w:t>
      </w:r>
    </w:p>
    <w:p w:rsidR="009C5FF7" w:rsidRDefault="009C5FF7" w:rsidP="009C5FF7">
      <w:pPr>
        <w:pStyle w:val="Paragraph0"/>
        <w:ind w:firstLine="0"/>
      </w:pPr>
      <w:r w:rsidRPr="00553D00">
        <w:rPr>
          <w:noProof/>
        </w:rPr>
        <w:drawing>
          <wp:inline distT="0" distB="0" distL="0" distR="0">
            <wp:extent cx="4227830" cy="2790825"/>
            <wp:effectExtent l="19050" t="19050" r="20320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166484" w:rsidRDefault="009C5FF7" w:rsidP="009C5FF7">
      <w:pPr>
        <w:pStyle w:val="ParagraphwithGapPetersburgCTT"/>
      </w:pPr>
      <w:r w:rsidRPr="00166484">
        <w:t>По каждой позиции выводится объем и стоимость по смете и объем и стоимость выполненных работ по месяцам, рассчитывается стоимость выполненных работ нарастающим итогом и за год, рассчитывается остаток как разность между объемом и стоимостью по смете и суммарным объемом и суммарной стоимостью выполненных работ по всем актам, начиная с первого и включая акты по выбранный период.</w:t>
      </w:r>
    </w:p>
    <w:p w:rsidR="009C5FF7" w:rsidRPr="00A53AA0" w:rsidRDefault="009C5FF7" w:rsidP="009C5FF7">
      <w:pPr>
        <w:pStyle w:val="2"/>
      </w:pPr>
      <w:bookmarkStart w:id="27" w:name="_Toc417309406"/>
      <w:bookmarkStart w:id="28" w:name="_Toc418774720"/>
      <w:bookmarkStart w:id="29" w:name="_Toc419319501"/>
      <w:bookmarkStart w:id="30" w:name="_Toc422151668"/>
      <w:bookmarkStart w:id="31" w:name="_Toc422158219"/>
      <w:bookmarkStart w:id="32" w:name="_Toc422160014"/>
      <w:r w:rsidRPr="00A53AA0">
        <w:t xml:space="preserve">Отчет о расходе ресурсов </w:t>
      </w:r>
      <w:r>
        <w:t>(</w:t>
      </w:r>
      <w:r w:rsidRPr="00A53AA0">
        <w:t>М</w:t>
      </w:r>
      <w:r>
        <w:noBreakHyphen/>
      </w:r>
      <w:r w:rsidRPr="00A53AA0">
        <w:t>29</w:t>
      </w:r>
      <w:bookmarkEnd w:id="27"/>
      <w:r>
        <w:t>)</w:t>
      </w:r>
      <w:bookmarkEnd w:id="28"/>
      <w:bookmarkEnd w:id="29"/>
      <w:bookmarkEnd w:id="30"/>
      <w:bookmarkEnd w:id="31"/>
      <w:bookmarkEnd w:id="32"/>
    </w:p>
    <w:p w:rsidR="009C5FF7" w:rsidRPr="00166484" w:rsidRDefault="009C5FF7" w:rsidP="009C5FF7">
      <w:pPr>
        <w:pStyle w:val="ParagraphwithGapPetersburgCTT"/>
      </w:pPr>
      <w:r w:rsidRPr="00166484">
        <w:t>Отчет «Отчет о расходе ресурсов (М</w:t>
      </w:r>
      <w:r w:rsidRPr="00166484">
        <w:noBreakHyphen/>
        <w:t>29)» предназначен для получения перечня израсходованных на выполнение работ мат</w:t>
      </w:r>
      <w:r w:rsidRPr="00166484">
        <w:t>е</w:t>
      </w:r>
      <w:r w:rsidRPr="00166484">
        <w:t xml:space="preserve">риалов. Он формируется на основании данных о расходе ресурсов локальных смет (план) и актов выполненных работ (факт). </w:t>
      </w:r>
    </w:p>
    <w:p w:rsidR="009C5FF7" w:rsidRPr="00166484" w:rsidRDefault="009C5FF7" w:rsidP="009C5FF7">
      <w:pPr>
        <w:pStyle w:val="ParagraphwithGapPetersburgCTT"/>
      </w:pPr>
      <w:r w:rsidRPr="00166484">
        <w:t>Предусмотрена возможность формирования отчета по локальной смете, как по конкретному выбранному акту, так и сводного отчета по нескольким актам сметы. Выбор актов, данные по которым необходимо включить в отчет, выполняется на закладке «Отбор по смете» в диалоге печати.</w:t>
      </w:r>
    </w:p>
    <w:p w:rsidR="009C5FF7" w:rsidRPr="00166484" w:rsidRDefault="009C5FF7" w:rsidP="009C5FF7">
      <w:pPr>
        <w:pStyle w:val="ParagraphwithGapPetersburgCTT"/>
      </w:pPr>
      <w:r w:rsidRPr="00166484">
        <w:t>Также можно сформировать сводный отчет о расходе ресурсов по заказчику за период. Параметры формирования отчета задаются на закладке «Отбор по заказчику за период».</w:t>
      </w:r>
    </w:p>
    <w:p w:rsidR="009C5FF7" w:rsidRDefault="009C5FF7" w:rsidP="009C5FF7">
      <w:pPr>
        <w:pStyle w:val="Paragraph0"/>
        <w:ind w:firstLine="0"/>
      </w:pPr>
      <w:r w:rsidRPr="00553D00">
        <w:rPr>
          <w:noProof/>
        </w:rPr>
        <w:lastRenderedPageBreak/>
        <w:drawing>
          <wp:inline distT="0" distB="0" distL="0" distR="0">
            <wp:extent cx="4227830" cy="2790825"/>
            <wp:effectExtent l="19050" t="19050" r="20320" b="285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A53AA0" w:rsidRDefault="009C5FF7" w:rsidP="009C5FF7">
      <w:pPr>
        <w:pStyle w:val="2"/>
      </w:pPr>
      <w:bookmarkStart w:id="33" w:name="_Toc417309407"/>
      <w:bookmarkStart w:id="34" w:name="_Toc418774721"/>
      <w:bookmarkStart w:id="35" w:name="_Toc419319502"/>
      <w:bookmarkStart w:id="36" w:name="_Toc422151669"/>
      <w:bookmarkStart w:id="37" w:name="_Toc422158220"/>
      <w:bookmarkStart w:id="38" w:name="_Toc422160015"/>
      <w:r w:rsidRPr="00A53AA0">
        <w:t>Справка о выполненных работах и затратах (Форма КС</w:t>
      </w:r>
      <w:r>
        <w:noBreakHyphen/>
      </w:r>
      <w:r w:rsidRPr="00A53AA0">
        <w:t>3)</w:t>
      </w:r>
      <w:bookmarkEnd w:id="33"/>
      <w:bookmarkEnd w:id="34"/>
      <w:bookmarkEnd w:id="35"/>
      <w:bookmarkEnd w:id="36"/>
      <w:bookmarkEnd w:id="37"/>
      <w:bookmarkEnd w:id="38"/>
    </w:p>
    <w:p w:rsidR="009C5FF7" w:rsidRPr="00166484" w:rsidRDefault="009C5FF7" w:rsidP="009C5FF7">
      <w:pPr>
        <w:pStyle w:val="ParagraphwithGapPetersburgCTT"/>
      </w:pPr>
      <w:r w:rsidRPr="00166484">
        <w:t>Справка по форме КС</w:t>
      </w:r>
      <w:r w:rsidRPr="00166484">
        <w:noBreakHyphen/>
        <w:t>3 составляется на выполненные в отчетном периоде строительные и монтажные работы, работы по капитальному ремонту зданий и сооружений, другие подрядные работы и представляется субподрядчиком генподрядчику, генподрядчиком заказчику (застройщику).</w:t>
      </w:r>
    </w:p>
    <w:p w:rsidR="009C5FF7" w:rsidRPr="00166484" w:rsidRDefault="009C5FF7" w:rsidP="009C5FF7">
      <w:pPr>
        <w:pStyle w:val="ParagraphwithGapPetersburgCTT"/>
      </w:pPr>
      <w:r w:rsidRPr="00166484">
        <w:t>Справка формируется по любому типу сметы: локальной, объектной, сводной, на основании данных актов выполненных работ. В стоимость выполненных работ и затрат включается стоимость строительно</w:t>
      </w:r>
      <w:r w:rsidRPr="00166484">
        <w:noBreakHyphen/>
        <w:t>монтажных работ, предусмотренных сметой, а также прочие затраты, не включаемые в единичные расценки на строительные работы и в ценники на монтажные работы (лимитированные затраты).</w:t>
      </w:r>
    </w:p>
    <w:p w:rsidR="009C5FF7" w:rsidRPr="00166484" w:rsidRDefault="009C5FF7" w:rsidP="009C5FF7">
      <w:pPr>
        <w:pStyle w:val="ParagraphwithGapPetersburgCTT"/>
      </w:pPr>
      <w:r w:rsidRPr="00166484">
        <w:t>Стоимость работ и затрат указывается нарастающим итогом с начала выполнения работ, включая отчетный период, нарастающим итогом с начала года, включая отчетный период и за отчетный период.</w:t>
      </w:r>
    </w:p>
    <w:p w:rsidR="009C5FF7" w:rsidRPr="00C61831" w:rsidRDefault="009C5FF7" w:rsidP="009C5FF7">
      <w:pPr>
        <w:pStyle w:val="Paragraph0"/>
        <w:ind w:firstLine="0"/>
      </w:pPr>
      <w:r w:rsidRPr="00553D00">
        <w:rPr>
          <w:noProof/>
        </w:rPr>
        <w:drawing>
          <wp:inline distT="0" distB="0" distL="0" distR="0">
            <wp:extent cx="4227830" cy="2790825"/>
            <wp:effectExtent l="19050" t="19050" r="2032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30" cy="2790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Pr="00166484" w:rsidRDefault="009C5FF7" w:rsidP="009C5FF7">
      <w:pPr>
        <w:pStyle w:val="ParagraphwithGapPetersburgCTT"/>
      </w:pPr>
      <w:r w:rsidRPr="00166484">
        <w:t>В Справке по требованию заказчика или инвестора отдельными строками могут приводиться данные по лимитированным затратам. Выбор лимитированных затрат для расшифровки в справке выполняется в диалоге печати на закладке «Лимитированные затраты».</w:t>
      </w:r>
    </w:p>
    <w:p w:rsidR="009C5FF7" w:rsidRPr="00A53AA0" w:rsidRDefault="009C5FF7" w:rsidP="009C5FF7">
      <w:pPr>
        <w:pStyle w:val="2"/>
      </w:pPr>
      <w:bookmarkStart w:id="39" w:name="_Toc417309408"/>
      <w:bookmarkStart w:id="40" w:name="_Toc418774722"/>
      <w:bookmarkStart w:id="41" w:name="_Toc419319503"/>
      <w:bookmarkStart w:id="42" w:name="_Toc422151670"/>
      <w:bookmarkStart w:id="43" w:name="_Toc422158221"/>
      <w:bookmarkStart w:id="44" w:name="_Toc422160016"/>
      <w:bookmarkStart w:id="45" w:name="_GoBack"/>
      <w:bookmarkEnd w:id="45"/>
      <w:r w:rsidRPr="00A53AA0">
        <w:lastRenderedPageBreak/>
        <w:t>Реестр смет</w:t>
      </w:r>
      <w:bookmarkEnd w:id="39"/>
      <w:bookmarkEnd w:id="40"/>
      <w:bookmarkEnd w:id="41"/>
      <w:bookmarkEnd w:id="42"/>
      <w:bookmarkEnd w:id="43"/>
      <w:bookmarkEnd w:id="44"/>
    </w:p>
    <w:p w:rsidR="009C5FF7" w:rsidRPr="00166484" w:rsidRDefault="009C5FF7" w:rsidP="009C5FF7">
      <w:pPr>
        <w:pStyle w:val="ParagraphwithGapPetersburgCTT"/>
      </w:pPr>
      <w:r w:rsidRPr="00166484">
        <w:t>Отчет «Реестр смет» предназначен для печати из дерева смет списка смет за заданный период, отвечающих определенным критериям.</w:t>
      </w:r>
    </w:p>
    <w:p w:rsidR="009C5FF7" w:rsidRPr="00166484" w:rsidRDefault="009C5FF7" w:rsidP="009C5FF7">
      <w:pPr>
        <w:pStyle w:val="ParagraphwithGapPetersburgCTT"/>
      </w:pPr>
      <w:r w:rsidRPr="00166484">
        <w:t xml:space="preserve">В качестве критериев отбора могут использоваться, </w:t>
      </w:r>
      <w:proofErr w:type="gramStart"/>
      <w:r w:rsidRPr="00166484">
        <w:t>например</w:t>
      </w:r>
      <w:proofErr w:type="gramEnd"/>
      <w:r w:rsidRPr="00166484">
        <w:t xml:space="preserve">: </w:t>
      </w:r>
    </w:p>
    <w:p w:rsidR="009C5FF7" w:rsidRPr="004C33FF" w:rsidRDefault="009C5FF7" w:rsidP="009C5FF7">
      <w:pPr>
        <w:pStyle w:val="ParagraphwithGapPetersburgCTT"/>
        <w:numPr>
          <w:ilvl w:val="0"/>
          <w:numId w:val="3"/>
        </w:numPr>
        <w:ind w:hanging="720"/>
      </w:pPr>
      <w:r w:rsidRPr="004C33FF">
        <w:t>заказчик,</w:t>
      </w:r>
    </w:p>
    <w:p w:rsidR="009C5FF7" w:rsidRPr="004C33FF" w:rsidRDefault="009C5FF7" w:rsidP="009C5FF7">
      <w:pPr>
        <w:pStyle w:val="ParagraphwithGapPetersburgCTT"/>
        <w:numPr>
          <w:ilvl w:val="0"/>
          <w:numId w:val="3"/>
        </w:numPr>
        <w:ind w:hanging="720"/>
      </w:pPr>
      <w:r w:rsidRPr="004C33FF">
        <w:t>подрядчик,</w:t>
      </w:r>
    </w:p>
    <w:p w:rsidR="009C5FF7" w:rsidRPr="004C33FF" w:rsidRDefault="009C5FF7" w:rsidP="009C5FF7">
      <w:pPr>
        <w:pStyle w:val="ParagraphwithGapPetersburgCTT"/>
        <w:numPr>
          <w:ilvl w:val="0"/>
          <w:numId w:val="3"/>
        </w:numPr>
        <w:ind w:hanging="720"/>
      </w:pPr>
      <w:r w:rsidRPr="004C33FF">
        <w:t>район строительства.</w:t>
      </w:r>
    </w:p>
    <w:p w:rsidR="009C5FF7" w:rsidRDefault="009C5FF7" w:rsidP="009C5FF7">
      <w:pPr>
        <w:pStyle w:val="List2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4215765" cy="1449070"/>
            <wp:effectExtent l="19050" t="19050" r="13335" b="177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24000" contrast="4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144907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C5FF7" w:rsidRDefault="009C5FF7" w:rsidP="009C5FF7">
      <w:pPr>
        <w:pStyle w:val="List2"/>
        <w:numPr>
          <w:ilvl w:val="0"/>
          <w:numId w:val="0"/>
        </w:numPr>
      </w:pPr>
    </w:p>
    <w:p w:rsidR="00126621" w:rsidRDefault="00126621"/>
    <w:sectPr w:rsidR="0012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sburg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DD9"/>
    <w:multiLevelType w:val="singleLevel"/>
    <w:tmpl w:val="2D3A6B7C"/>
    <w:lvl w:ilvl="0">
      <w:start w:val="1"/>
      <w:numFmt w:val="bullet"/>
      <w:pStyle w:val="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97776F"/>
    <w:multiLevelType w:val="hybridMultilevel"/>
    <w:tmpl w:val="7CA2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236"/>
    <w:multiLevelType w:val="hybridMultilevel"/>
    <w:tmpl w:val="0F86DD90"/>
    <w:lvl w:ilvl="0" w:tplc="60B6BE08">
      <w:start w:val="1"/>
      <w:numFmt w:val="bullet"/>
      <w:pStyle w:val="List2"/>
      <w:lvlText w:val="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20"/>
    <w:rsid w:val="00126621"/>
    <w:rsid w:val="004B3120"/>
    <w:rsid w:val="009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24E6"/>
  <w15:chartTrackingRefBased/>
  <w15:docId w15:val="{47495330-E80B-4A41-9A77-EF525E8B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Оглавление"/>
    <w:basedOn w:val="a"/>
    <w:next w:val="Paragraph0"/>
    <w:link w:val="10"/>
    <w:autoRedefine/>
    <w:qFormat/>
    <w:rsid w:val="009C5FF7"/>
    <w:pPr>
      <w:keepNext/>
      <w:keepLines/>
      <w:suppressAutoHyphens/>
      <w:spacing w:before="360" w:after="360" w:line="240" w:lineRule="auto"/>
      <w:jc w:val="right"/>
      <w:outlineLvl w:val="0"/>
    </w:pPr>
    <w:rPr>
      <w:rFonts w:ascii="Verdana" w:eastAsia="Times New Roman" w:hAnsi="Verdana" w:cs="Times New Roman"/>
      <w:snapToGrid w:val="0"/>
      <w:kern w:val="28"/>
      <w:sz w:val="40"/>
      <w:szCs w:val="20"/>
      <w:lang w:eastAsia="ru-RU"/>
    </w:rPr>
  </w:style>
  <w:style w:type="paragraph" w:styleId="2">
    <w:name w:val="heading 2"/>
    <w:basedOn w:val="a"/>
    <w:next w:val="Paragraph0"/>
    <w:link w:val="20"/>
    <w:qFormat/>
    <w:rsid w:val="009C5FF7"/>
    <w:pPr>
      <w:keepNext/>
      <w:keepLines/>
      <w:suppressAutoHyphens/>
      <w:spacing w:before="360" w:line="240" w:lineRule="auto"/>
      <w:ind w:left="284"/>
      <w:outlineLvl w:val="1"/>
    </w:pPr>
    <w:rPr>
      <w:rFonts w:ascii="Verdana" w:eastAsia="Times New Roman" w:hAnsi="Verdana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главление Знак"/>
    <w:basedOn w:val="a0"/>
    <w:link w:val="1"/>
    <w:rsid w:val="009C5FF7"/>
    <w:rPr>
      <w:rFonts w:ascii="Verdana" w:eastAsia="Times New Roman" w:hAnsi="Verdana" w:cs="Times New Roman"/>
      <w:snapToGrid w:val="0"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FF7"/>
    <w:rPr>
      <w:rFonts w:ascii="Verdana" w:eastAsia="Times New Roman" w:hAnsi="Verdana" w:cs="Times New Roman"/>
      <w:sz w:val="32"/>
      <w:szCs w:val="20"/>
      <w:lang w:eastAsia="ru-RU"/>
    </w:rPr>
  </w:style>
  <w:style w:type="paragraph" w:customStyle="1" w:styleId="Paragraph0">
    <w:name w:val="Paragraph 0"/>
    <w:basedOn w:val="a"/>
    <w:link w:val="Paragraph02"/>
    <w:rsid w:val="009C5FF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Paragraph02">
    <w:name w:val="Paragraph 0 Знак2"/>
    <w:link w:val="Paragraph0"/>
    <w:rsid w:val="009C5F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List1">
    <w:name w:val="List 1"/>
    <w:basedOn w:val="a"/>
    <w:rsid w:val="009C5FF7"/>
    <w:pPr>
      <w:numPr>
        <w:numId w:val="1"/>
      </w:numPr>
      <w:tabs>
        <w:tab w:val="left" w:pos="851"/>
      </w:tabs>
      <w:spacing w:after="0" w:line="240" w:lineRule="auto"/>
      <w:jc w:val="both"/>
    </w:pPr>
    <w:rPr>
      <w:rFonts w:ascii="PetersburgCTT" w:eastAsia="Times New Roman" w:hAnsi="PetersburgCTT" w:cs="Times New Roman"/>
      <w:sz w:val="20"/>
      <w:szCs w:val="20"/>
      <w:lang w:val="en-US" w:eastAsia="ru-RU"/>
    </w:rPr>
  </w:style>
  <w:style w:type="paragraph" w:customStyle="1" w:styleId="List2">
    <w:name w:val="List 2"/>
    <w:basedOn w:val="a"/>
    <w:rsid w:val="009C5FF7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  <w:style w:type="paragraph" w:customStyle="1" w:styleId="ParagraphwithGapPetersburgCTT">
    <w:name w:val="Стиль Paragraph with Gap + PetersburgCTT"/>
    <w:basedOn w:val="a"/>
    <w:rsid w:val="009C5FF7"/>
    <w:pPr>
      <w:spacing w:after="120" w:line="240" w:lineRule="auto"/>
      <w:jc w:val="both"/>
    </w:pPr>
    <w:rPr>
      <w:rFonts w:ascii="PetersburgCTT" w:eastAsia="Times New Roman" w:hAnsi="PetersburgCT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8config://17bab7bb-a8fb-44d4-8017-46b55e78b6dd/mdobject/id731e6498-a5a8-4ac2-9931-9e7cc8de1a06/038b5c85-fb1c-4082-9c4c-e69f8928bf3a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v8config://17bab7bb-a8fb-44d4-8017-46b55e78b6dd/mdobject/idee1bf4c1-0ee6-4900-b7b6-ad37ef879a19/038b5c85-fb1c-4082-9c4c-e69f8928bf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vdovo</dc:creator>
  <cp:keywords/>
  <dc:description/>
  <cp:lastModifiedBy>vdovo</cp:lastModifiedBy>
  <cp:revision>2</cp:revision>
  <dcterms:created xsi:type="dcterms:W3CDTF">2017-02-15T12:36:00Z</dcterms:created>
  <dcterms:modified xsi:type="dcterms:W3CDTF">2017-02-15T12:37:00Z</dcterms:modified>
</cp:coreProperties>
</file>